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8DFBA" w14:textId="44F89363" w:rsidR="00A45F1C" w:rsidRDefault="00131870">
      <w:pPr>
        <w:spacing w:after="640" w:line="259" w:lineRule="auto"/>
        <w:ind w:left="151" w:firstLine="0"/>
        <w:jc w:val="center"/>
      </w:pPr>
      <w:r>
        <w:rPr>
          <w:sz w:val="30"/>
        </w:rPr>
        <w:t xml:space="preserve">Consideraciones para conocer la liquidez del maestro en la otorgación de los </w:t>
      </w:r>
      <w:r w:rsidR="00BC5E9E">
        <w:rPr>
          <w:sz w:val="30"/>
        </w:rPr>
        <w:t>Préstamos</w:t>
      </w:r>
      <w:r>
        <w:rPr>
          <w:sz w:val="30"/>
        </w:rPr>
        <w:t xml:space="preserve"> de Extrema Urgencia otorgados por el</w:t>
      </w:r>
      <w:r w:rsidR="00BC5E9E">
        <w:rPr>
          <w:sz w:val="30"/>
        </w:rPr>
        <w:t xml:space="preserve"> STAUS</w:t>
      </w:r>
    </w:p>
    <w:p w14:paraId="0FABB525" w14:textId="77777777" w:rsidR="00A45F1C" w:rsidRDefault="00BC5E9E">
      <w:pPr>
        <w:spacing w:after="239" w:line="263" w:lineRule="auto"/>
        <w:ind w:left="0" w:firstLine="706"/>
      </w:pPr>
      <w:r>
        <w:rPr>
          <w:sz w:val="30"/>
        </w:rPr>
        <w:t xml:space="preserve">A </w:t>
      </w:r>
      <w:proofErr w:type="gramStart"/>
      <w:r>
        <w:rPr>
          <w:sz w:val="30"/>
        </w:rPr>
        <w:t>continuación</w:t>
      </w:r>
      <w:proofErr w:type="gramEnd"/>
      <w:r>
        <w:rPr>
          <w:sz w:val="30"/>
        </w:rPr>
        <w:t xml:space="preserve"> se explica el procedimiento que considera la Tesorería UNISON para efecto de los Préstamos:</w:t>
      </w:r>
    </w:p>
    <w:p w14:paraId="4951065C" w14:textId="28464E98" w:rsidR="00A45F1C" w:rsidRDefault="00BC5E9E">
      <w:pPr>
        <w:pStyle w:val="Ttulo1"/>
        <w:spacing w:after="33"/>
        <w:ind w:left="651"/>
      </w:pPr>
      <w:r>
        <w:rPr>
          <w:noProof/>
        </w:rPr>
        <w:drawing>
          <wp:inline distT="0" distB="0" distL="0" distR="0" wp14:anchorId="7ED231D4" wp14:editId="60CE834E">
            <wp:extent cx="54896" cy="54864"/>
            <wp:effectExtent l="0" t="0" r="0" b="0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9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PERCEPCIONES</w:t>
      </w:r>
      <w:r w:rsidR="00364CF5">
        <w:t xml:space="preserve"> (Que se consideran, </w:t>
      </w:r>
      <w:r w:rsidR="006975C2">
        <w:t>NO</w:t>
      </w:r>
      <w:r w:rsidR="00364CF5">
        <w:t xml:space="preserve"> incluyen otras </w:t>
      </w:r>
      <w:r w:rsidR="006975C2">
        <w:t>P</w:t>
      </w:r>
      <w:r w:rsidR="00364CF5">
        <w:t>ercepciones eventuales)</w:t>
      </w:r>
    </w:p>
    <w:p w14:paraId="446DE0EC" w14:textId="6D7116FA" w:rsidR="00A45F1C" w:rsidRDefault="00BC5E9E">
      <w:pPr>
        <w:spacing w:after="843"/>
        <w:ind w:left="1051" w:firstLine="22"/>
      </w:pPr>
      <w:r>
        <w:t>Sueldo base, Sueldo Complementario, Rezonificación,</w:t>
      </w:r>
      <w:r w:rsidR="00364CF5">
        <w:t xml:space="preserve"> Sobrecarga,</w:t>
      </w:r>
      <w:r>
        <w:t xml:space="preserve"> Material Didáctico</w:t>
      </w:r>
      <w:r w:rsidR="006975C2">
        <w:t xml:space="preserve"> y complemento</w:t>
      </w:r>
      <w:r>
        <w:t>, Prima de Antigüedad, Nivelación Salar</w:t>
      </w:r>
      <w:r w:rsidR="00131870">
        <w:t>ial</w:t>
      </w:r>
      <w:r w:rsidR="006975C2">
        <w:t>, Despensa.</w:t>
      </w:r>
    </w:p>
    <w:p w14:paraId="465A8DFC" w14:textId="7A91F352" w:rsidR="00A45F1C" w:rsidRDefault="00BC5E9E" w:rsidP="00364CF5">
      <w:pPr>
        <w:pStyle w:val="Ttulo1"/>
        <w:ind w:left="720" w:firstLine="0"/>
      </w:pPr>
      <w:r>
        <w:t xml:space="preserve">DEDUCCIONES </w:t>
      </w:r>
      <w:r w:rsidR="00364CF5">
        <w:t>(Que se consideran, No se considera Caja de Ahorros, ni otros descuentos por otros préstamos).</w:t>
      </w:r>
    </w:p>
    <w:p w14:paraId="4C309D5B" w14:textId="77777777" w:rsidR="00364CF5" w:rsidRPr="00364CF5" w:rsidRDefault="00364CF5" w:rsidP="00364CF5"/>
    <w:p w14:paraId="1B05C4A1" w14:textId="01B39F5D" w:rsidR="00A45F1C" w:rsidRDefault="00364CF5" w:rsidP="00364CF5">
      <w:pPr>
        <w:ind w:left="360" w:firstLine="0"/>
      </w:pPr>
      <w:r>
        <w:t>Cu</w:t>
      </w:r>
      <w:r w:rsidR="00BC5E9E">
        <w:t xml:space="preserve">ota Ordinaria Sindicato, ISR, Pensiones y Jubilaciones ISSSTESON, Servicio Médico y seguro de Vida ISSSTESON, </w:t>
      </w:r>
      <w:r>
        <w:t>Fondo de Pensiones y Jubilaciones, Incentivo a la jubilación.</w:t>
      </w:r>
    </w:p>
    <w:p w14:paraId="47552449" w14:textId="08C4B2A4" w:rsidR="00A45F1C" w:rsidRDefault="00BC5E9E">
      <w:pPr>
        <w:spacing w:after="2"/>
        <w:ind w:left="1051"/>
      </w:pPr>
      <w:r>
        <w:t xml:space="preserve">De las PERCEPCIONES restarle las </w:t>
      </w:r>
      <w:proofErr w:type="gramStart"/>
      <w:r>
        <w:t xml:space="preserve">DEDUCCIONES </w:t>
      </w:r>
      <w:r w:rsidR="00364CF5">
        <w:t>.</w:t>
      </w:r>
      <w:proofErr w:type="gramEnd"/>
      <w:r w:rsidR="00364CF5">
        <w:t xml:space="preserve"> Al resultado, se </w:t>
      </w:r>
      <w:r>
        <w:t xml:space="preserve">MULTIPLICA por 40%, lo que resulte es la cantidad de PROTECCIÓN que </w:t>
      </w:r>
      <w:r>
        <w:rPr>
          <w:u w:val="single" w:color="000000"/>
        </w:rPr>
        <w:t>NO</w:t>
      </w:r>
      <w:r>
        <w:t xml:space="preserve"> se puede prestar...Si al comparar esa cantidad contra la que te queda como TOTAL DEPOSITADO </w:t>
      </w:r>
      <w:r>
        <w:rPr>
          <w:noProof/>
        </w:rPr>
        <w:drawing>
          <wp:inline distT="0" distB="0" distL="0" distR="0" wp14:anchorId="30477E7F" wp14:editId="41CC8BBA">
            <wp:extent cx="18299" cy="45720"/>
            <wp:effectExtent l="0" t="0" r="0" b="0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existe alguna diferencia, sobre ello es lo que te pueden PRESTAR y DESCONTAR QUINCENALMENTE.</w:t>
      </w:r>
    </w:p>
    <w:p w14:paraId="285DEF85" w14:textId="77777777" w:rsidR="00A45F1C" w:rsidRDefault="00BC5E9E">
      <w:pPr>
        <w:spacing w:after="475"/>
        <w:ind w:left="1051" w:firstLine="0"/>
      </w:pPr>
      <w:r>
        <w:t>Ejemplo:</w:t>
      </w:r>
    </w:p>
    <w:p w14:paraId="36BA837B" w14:textId="5837D36F" w:rsidR="00A45F1C" w:rsidRDefault="00BC5E9E">
      <w:pPr>
        <w:ind w:left="1051"/>
      </w:pPr>
      <w:r>
        <w:t xml:space="preserve">Un Maestro Percibe $10,000.00 del concepto de PERCEPCIONES </w:t>
      </w:r>
      <w:r w:rsidR="00E327BE">
        <w:t xml:space="preserve">(Que se consideran) </w:t>
      </w:r>
      <w:r>
        <w:t xml:space="preserve">en la nómina quincenal, </w:t>
      </w:r>
      <w:r w:rsidR="00E327BE">
        <w:t xml:space="preserve">MENOS </w:t>
      </w:r>
      <w:r>
        <w:t xml:space="preserve">las </w:t>
      </w:r>
      <w:proofErr w:type="gramStart"/>
      <w:r>
        <w:t xml:space="preserve">DEDUCCIONES  </w:t>
      </w:r>
      <w:r w:rsidR="00364CF5">
        <w:t>(</w:t>
      </w:r>
      <w:proofErr w:type="gramEnd"/>
      <w:r w:rsidR="00364CF5">
        <w:t xml:space="preserve">Que se </w:t>
      </w:r>
      <w:r w:rsidR="00E327BE">
        <w:t>consideran</w:t>
      </w:r>
      <w:r w:rsidR="00364CF5">
        <w:t xml:space="preserve"> )</w:t>
      </w:r>
      <w:r>
        <w:t xml:space="preserve">son por $6,000.00; </w:t>
      </w:r>
      <w:r w:rsidR="00E327BE">
        <w:t xml:space="preserve">la diferencia es $4,000.00. </w:t>
      </w:r>
    </w:p>
    <w:p w14:paraId="2C52C812" w14:textId="04C77634" w:rsidR="00A45F1C" w:rsidRDefault="00BC5E9E">
      <w:pPr>
        <w:ind w:left="1051"/>
      </w:pPr>
      <w:r>
        <w:t>De los $</w:t>
      </w:r>
      <w:proofErr w:type="gramStart"/>
      <w:r>
        <w:t>4,OOO.OO</w:t>
      </w:r>
      <w:proofErr w:type="gramEnd"/>
      <w:r>
        <w:t xml:space="preserve"> </w:t>
      </w:r>
      <w:r w:rsidR="00E327BE">
        <w:t>se multiplica por la protección del 40%</w:t>
      </w:r>
      <w:r>
        <w:t xml:space="preserve"> </w:t>
      </w:r>
      <w:r>
        <w:tab/>
        <w:t>= $1 ,600.OO es la PROTECCIÓN que debe quedar</w:t>
      </w:r>
      <w:r w:rsidR="00E327BE">
        <w:t xml:space="preserve">. </w:t>
      </w:r>
      <w:r>
        <w:t xml:space="preserve"> Si el maestro recibe como neto a depositar $3,500.00. </w:t>
      </w:r>
      <w:r>
        <w:lastRenderedPageBreak/>
        <w:t>Para efectos de conocer su capacidad de pago del préstamo solicitado se realiza lo siguiente:</w:t>
      </w:r>
    </w:p>
    <w:p w14:paraId="730E4DFA" w14:textId="06D26CA8" w:rsidR="00BC5E9E" w:rsidRDefault="00BC5E9E">
      <w:pPr>
        <w:ind w:left="1051"/>
      </w:pPr>
    </w:p>
    <w:p w14:paraId="519F0DD2" w14:textId="3C13F730" w:rsidR="00BC5E9E" w:rsidRDefault="00BC5E9E">
      <w:pPr>
        <w:ind w:left="1051"/>
      </w:pPr>
      <w:proofErr w:type="gramStart"/>
      <w:r>
        <w:t>Neto a depositar</w:t>
      </w:r>
      <w:proofErr w:type="gramEnd"/>
      <w:r>
        <w:t xml:space="preserve">              $ 3,500.00</w:t>
      </w:r>
    </w:p>
    <w:p w14:paraId="0F370F24" w14:textId="2ADC6875" w:rsidR="00BC5E9E" w:rsidRDefault="00BC5E9E" w:rsidP="00BC5E9E">
      <w:pPr>
        <w:pStyle w:val="Prrafodelista"/>
        <w:numPr>
          <w:ilvl w:val="0"/>
          <w:numId w:val="2"/>
        </w:numPr>
      </w:pPr>
      <w:r>
        <w:t>Protección                  $ 1,600.00</w:t>
      </w:r>
    </w:p>
    <w:p w14:paraId="62CB7932" w14:textId="5B9DF6DB" w:rsidR="00BC5E9E" w:rsidRDefault="00BC5E9E" w:rsidP="00BC5E9E">
      <w:r>
        <w:t>Capacidad de pago         $1,900.00</w:t>
      </w:r>
    </w:p>
    <w:p w14:paraId="56140474" w14:textId="58FBA843" w:rsidR="00BC5E9E" w:rsidRDefault="00BC5E9E" w:rsidP="00BC5E9E"/>
    <w:p w14:paraId="4972EF2D" w14:textId="44139481" w:rsidR="00BC5E9E" w:rsidRDefault="00BC5E9E" w:rsidP="00BC5E9E">
      <w:r>
        <w:t xml:space="preserve">Este importe de $1,900.00 es lo </w:t>
      </w:r>
      <w:proofErr w:type="gramStart"/>
      <w:r>
        <w:t>que</w:t>
      </w:r>
      <w:proofErr w:type="gramEnd"/>
      <w:r>
        <w:t xml:space="preserve"> de acuerdo a este procedimiento, el maestro tiene para poder pagar.</w:t>
      </w:r>
    </w:p>
    <w:p w14:paraId="0DE3A316" w14:textId="0B2F8892" w:rsidR="00BC5E9E" w:rsidRDefault="00BC5E9E" w:rsidP="00BC5E9E">
      <w:r>
        <w:t xml:space="preserve">Supongamos que solicita $40,000.00, se le calcula el 7% de intereses y queda $42,800.00 a pagar en 24 quincenas de $ 1,783.33. Por lo tanto, con esa base de cálculo, el maestro SI </w:t>
      </w:r>
      <w:proofErr w:type="gramStart"/>
      <w:r>
        <w:t>contaría</w:t>
      </w:r>
      <w:proofErr w:type="gramEnd"/>
      <w:r>
        <w:t xml:space="preserve"> con una liquidez (aunque algo apretada) para poder pagar.</w:t>
      </w:r>
    </w:p>
    <w:p w14:paraId="3996F120" w14:textId="6EAD3948" w:rsidR="00A777C7" w:rsidRDefault="00A777C7" w:rsidP="00BC5E9E"/>
    <w:p w14:paraId="067B6523" w14:textId="0343C2CC" w:rsidR="00A777C7" w:rsidRDefault="00A777C7" w:rsidP="00BC5E9E">
      <w:r>
        <w:t xml:space="preserve">Este procedimiento aplica para los 3 tipos de préstamos: </w:t>
      </w:r>
    </w:p>
    <w:p w14:paraId="5994CDD2" w14:textId="5B075396" w:rsidR="00A777C7" w:rsidRDefault="00A777C7" w:rsidP="00BC5E9E">
      <w:r>
        <w:t>Préstamo de Extrema Urgencia</w:t>
      </w:r>
    </w:p>
    <w:p w14:paraId="431E7988" w14:textId="6F068967" w:rsidR="00A777C7" w:rsidRDefault="00A777C7" w:rsidP="00BC5E9E">
      <w:r>
        <w:t>Préstamo Especial</w:t>
      </w:r>
    </w:p>
    <w:p w14:paraId="68D226E8" w14:textId="2F495613" w:rsidR="00A777C7" w:rsidRDefault="00A777C7" w:rsidP="00BC5E9E">
      <w:r>
        <w:t>Préstamo para Ampliación de Vivienda.</w:t>
      </w:r>
      <w:bookmarkStart w:id="0" w:name="_GoBack"/>
      <w:bookmarkEnd w:id="0"/>
    </w:p>
    <w:sectPr w:rsidR="00A777C7">
      <w:pgSz w:w="12240" w:h="15840"/>
      <w:pgMar w:top="1440" w:right="519" w:bottom="1440" w:left="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8.25pt;visibility:visible;mso-wrap-style:square" o:bullet="t">
        <v:imagedata r:id="rId1" o:title=""/>
      </v:shape>
    </w:pict>
  </w:numPicBullet>
  <w:abstractNum w:abstractNumId="0" w15:restartNumberingAfterBreak="0">
    <w:nsid w:val="3A2A1059"/>
    <w:multiLevelType w:val="hybridMultilevel"/>
    <w:tmpl w:val="B414D13C"/>
    <w:lvl w:ilvl="0" w:tplc="93DCE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20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66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02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0F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64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86D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E0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2A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99005B"/>
    <w:multiLevelType w:val="hybridMultilevel"/>
    <w:tmpl w:val="2B248A78"/>
    <w:lvl w:ilvl="0" w:tplc="E4647C3A">
      <w:numFmt w:val="bullet"/>
      <w:lvlText w:val="-"/>
      <w:lvlJc w:val="left"/>
      <w:pPr>
        <w:ind w:left="2143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1C"/>
    <w:rsid w:val="00131870"/>
    <w:rsid w:val="00364CF5"/>
    <w:rsid w:val="006975C2"/>
    <w:rsid w:val="00A45F1C"/>
    <w:rsid w:val="00A777C7"/>
    <w:rsid w:val="00BC5E9E"/>
    <w:rsid w:val="00E3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DDB0"/>
  <w15:docId w15:val="{FCE08F1D-F256-48CD-82F2-400292CA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6" w:line="272" w:lineRule="auto"/>
      <w:ind w:left="1066" w:firstLine="732"/>
    </w:pPr>
    <w:rPr>
      <w:rFonts w:ascii="Calibri" w:eastAsia="Calibri" w:hAnsi="Calibri" w:cs="Calibri"/>
      <w:color w:val="000000"/>
      <w:sz w:val="2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730" w:hanging="10"/>
      <w:outlineLvl w:val="0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  <w:u w:val="single" w:color="000000"/>
    </w:rPr>
  </w:style>
  <w:style w:type="paragraph" w:styleId="Prrafodelista">
    <w:name w:val="List Paragraph"/>
    <w:basedOn w:val="Normal"/>
    <w:uiPriority w:val="34"/>
    <w:qFormat/>
    <w:rsid w:val="0036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STAUS</dc:creator>
  <cp:keywords/>
  <cp:lastModifiedBy>STAUS</cp:lastModifiedBy>
  <cp:revision>7</cp:revision>
  <dcterms:created xsi:type="dcterms:W3CDTF">2020-01-17T19:36:00Z</dcterms:created>
  <dcterms:modified xsi:type="dcterms:W3CDTF">2020-01-20T19:03:00Z</dcterms:modified>
</cp:coreProperties>
</file>